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E8A53" w14:textId="77777777" w:rsidR="00AC3BA7" w:rsidRDefault="00AC3BA7" w:rsidP="00AC3BA7">
      <w:pPr>
        <w:jc w:val="center"/>
        <w:rPr>
          <w:b/>
          <w:bCs/>
        </w:rPr>
      </w:pPr>
      <w:r w:rsidRPr="00216A70">
        <w:rPr>
          <w:rFonts w:ascii="Arial" w:hAnsi="Arial" w:cs="Arial"/>
          <w:b/>
          <w:bCs/>
        </w:rPr>
        <w:t xml:space="preserve">Due </w:t>
      </w:r>
      <w:r>
        <w:rPr>
          <w:rFonts w:ascii="Arial" w:hAnsi="Arial" w:cs="Arial"/>
          <w:b/>
          <w:bCs/>
        </w:rPr>
        <w:t>D</w:t>
      </w:r>
      <w:r w:rsidRPr="00216A70">
        <w:rPr>
          <w:rFonts w:ascii="Arial" w:hAnsi="Arial" w:cs="Arial"/>
          <w:b/>
          <w:bCs/>
        </w:rPr>
        <w:t xml:space="preserve">iligence </w:t>
      </w:r>
      <w:proofErr w:type="spellStart"/>
      <w:r>
        <w:rPr>
          <w:rFonts w:ascii="Arial" w:hAnsi="Arial" w:cs="Arial"/>
          <w:b/>
          <w:bCs/>
        </w:rPr>
        <w:t>Q</w:t>
      </w:r>
      <w:r w:rsidRPr="00216A70">
        <w:rPr>
          <w:rFonts w:ascii="Arial" w:hAnsi="Arial" w:cs="Arial"/>
          <w:b/>
          <w:bCs/>
        </w:rPr>
        <w:t>uestionnaire</w:t>
      </w:r>
      <w:proofErr w:type="spellEnd"/>
    </w:p>
    <w:p w14:paraId="37FD8D0A" w14:textId="77777777" w:rsidR="00AC3BA7" w:rsidRPr="00216A70" w:rsidRDefault="00AC3BA7" w:rsidP="00AC3BA7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AC3BA7" w14:paraId="67CC9F40" w14:textId="77777777" w:rsidTr="00AC3BA7">
        <w:trPr>
          <w:trHeight w:val="425"/>
        </w:trPr>
        <w:tc>
          <w:tcPr>
            <w:tcW w:w="9628" w:type="dxa"/>
            <w:gridSpan w:val="2"/>
            <w:shd w:val="clear" w:color="auto" w:fill="44546A"/>
            <w:vAlign w:val="center"/>
          </w:tcPr>
          <w:p w14:paraId="15187EFE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DESCRIZIONE DEL GESTORE E DELL’OICR</w:t>
            </w:r>
          </w:p>
        </w:tc>
      </w:tr>
      <w:tr w:rsidR="00AC3BA7" w14:paraId="6497D68B" w14:textId="77777777" w:rsidTr="00817564">
        <w:trPr>
          <w:trHeight w:val="559"/>
        </w:trPr>
        <w:tc>
          <w:tcPr>
            <w:tcW w:w="1980" w:type="dxa"/>
            <w:vMerge w:val="restart"/>
          </w:tcPr>
          <w:p w14:paraId="3006574E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Descrizione Gestore e principali iniziative </w:t>
            </w:r>
          </w:p>
        </w:tc>
        <w:tc>
          <w:tcPr>
            <w:tcW w:w="7648" w:type="dxa"/>
          </w:tcPr>
          <w:p w14:paraId="7E502B3E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ornire informazioni relative al gestore e alle principali iniziative intraprese</w:t>
            </w:r>
          </w:p>
        </w:tc>
      </w:tr>
      <w:tr w:rsidR="00AC3BA7" w14:paraId="4618E74A" w14:textId="77777777" w:rsidTr="00817564">
        <w:trPr>
          <w:trHeight w:val="70"/>
        </w:trPr>
        <w:tc>
          <w:tcPr>
            <w:tcW w:w="1980" w:type="dxa"/>
            <w:vMerge/>
          </w:tcPr>
          <w:p w14:paraId="300E776D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8" w:type="dxa"/>
          </w:tcPr>
          <w:p w14:paraId="36085DC6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7A025236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14:paraId="149D9315" w14:textId="77777777" w:rsidTr="00817564">
        <w:trPr>
          <w:trHeight w:val="405"/>
        </w:trPr>
        <w:tc>
          <w:tcPr>
            <w:tcW w:w="1980" w:type="dxa"/>
            <w:vMerge w:val="restart"/>
          </w:tcPr>
          <w:p w14:paraId="446DDD85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Caratteristiche dell’OICR</w:t>
            </w:r>
          </w:p>
        </w:tc>
        <w:tc>
          <w:tcPr>
            <w:tcW w:w="7648" w:type="dxa"/>
          </w:tcPr>
          <w:p w14:paraId="45D816C6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, a titolo esemplificativo,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 seguenti aspetti: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mercato di riferimento, settori, aziende target e aree geografiche, struttura </w:t>
            </w:r>
            <w:proofErr w:type="spellStart"/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levered</w:t>
            </w:r>
            <w:proofErr w:type="spellEnd"/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vs </w:t>
            </w:r>
            <w:proofErr w:type="spellStart"/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unlevered</w:t>
            </w:r>
            <w:proofErr w:type="spellEnd"/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, meccanismo di distribuzione dei proventi dell’OICR, commissioni e spese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; si richiede inoltre bozza di Regolamento</w:t>
            </w:r>
          </w:p>
          <w:p w14:paraId="0DEE9382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14:paraId="64BF408D" w14:textId="77777777" w:rsidTr="00817564">
        <w:trPr>
          <w:trHeight w:val="405"/>
        </w:trPr>
        <w:tc>
          <w:tcPr>
            <w:tcW w:w="1980" w:type="dxa"/>
            <w:vMerge/>
          </w:tcPr>
          <w:p w14:paraId="7C205096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EC08106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3A22D12B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:rsidRPr="00216A70" w14:paraId="75C3BCE2" w14:textId="77777777" w:rsidTr="00817564">
        <w:trPr>
          <w:trHeight w:val="765"/>
        </w:trPr>
        <w:tc>
          <w:tcPr>
            <w:tcW w:w="1980" w:type="dxa"/>
            <w:vMerge w:val="restart"/>
          </w:tcPr>
          <w:p w14:paraId="181C4A93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Struttura organizzativa,</w:t>
            </w:r>
          </w:p>
          <w:p w14:paraId="1065ABB8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Governance e Organi decisionali</w:t>
            </w:r>
          </w:p>
        </w:tc>
        <w:tc>
          <w:tcPr>
            <w:tcW w:w="7648" w:type="dxa"/>
          </w:tcPr>
          <w:p w14:paraId="27795BCE" w14:textId="77777777" w:rsidR="00AC3BA7" w:rsidRPr="00EF0F65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Fornire dettagli in termini di CV e track record dei key men, risk management e, organigramma, indicazione dell’effettiva </w:t>
            </w:r>
            <w:proofErr w:type="spellStart"/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capacity</w:t>
            </w:r>
            <w:proofErr w:type="spellEnd"/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/</w:t>
            </w:r>
            <w:proofErr w:type="spellStart"/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dedication</w:t>
            </w:r>
            <w:proofErr w:type="spellEnd"/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delle figure operative all’interno dell’iniziativ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</w:t>
            </w:r>
          </w:p>
        </w:tc>
      </w:tr>
      <w:tr w:rsidR="00AC3BA7" w:rsidRPr="00747A43" w14:paraId="6BAEEC98" w14:textId="77777777" w:rsidTr="00817564">
        <w:trPr>
          <w:trHeight w:val="540"/>
        </w:trPr>
        <w:tc>
          <w:tcPr>
            <w:tcW w:w="1980" w:type="dxa"/>
            <w:vMerge/>
          </w:tcPr>
          <w:p w14:paraId="71321C24" w14:textId="77777777" w:rsidR="00AC3BA7" w:rsidRPr="00216A70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2A6E7C9A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747A43" w14:paraId="3446DDA2" w14:textId="77777777" w:rsidTr="00817564">
        <w:trPr>
          <w:trHeight w:val="345"/>
        </w:trPr>
        <w:tc>
          <w:tcPr>
            <w:tcW w:w="1980" w:type="dxa"/>
            <w:vMerge w:val="restart"/>
          </w:tcPr>
          <w:p w14:paraId="30B77C74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Policy di gestione dei conflitti di interesse</w:t>
            </w:r>
          </w:p>
        </w:tc>
        <w:tc>
          <w:tcPr>
            <w:tcW w:w="7648" w:type="dxa"/>
          </w:tcPr>
          <w:p w14:paraId="0A2E4416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Fornire, ove presente, la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policy di gestione dei conflitti di interesse</w:t>
            </w:r>
          </w:p>
          <w:p w14:paraId="2BF6C095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:rsidRPr="00747A43" w14:paraId="2E03F7BA" w14:textId="77777777" w:rsidTr="00817564">
        <w:trPr>
          <w:trHeight w:val="345"/>
        </w:trPr>
        <w:tc>
          <w:tcPr>
            <w:tcW w:w="1980" w:type="dxa"/>
            <w:vMerge/>
          </w:tcPr>
          <w:p w14:paraId="1DB170F6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3B47506E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39E5553E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:rsidRPr="00747A43" w14:paraId="4FD7F983" w14:textId="77777777" w:rsidTr="00817564">
        <w:trPr>
          <w:trHeight w:val="783"/>
        </w:trPr>
        <w:tc>
          <w:tcPr>
            <w:tcW w:w="1980" w:type="dxa"/>
            <w:vMerge w:val="restart"/>
          </w:tcPr>
          <w:p w14:paraId="694369FE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Principali investitori attuali e in pipeline</w:t>
            </w:r>
          </w:p>
        </w:tc>
        <w:tc>
          <w:tcPr>
            <w:tcW w:w="7648" w:type="dxa"/>
          </w:tcPr>
          <w:p w14:paraId="5A4623CB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Indicare i principali investitori attuali e in pipeline, con adeguato aggiornamento sul fundraising con indicazione dell’hard e soft commitment sottoscritto all’ultima data disponibile </w:t>
            </w:r>
          </w:p>
        </w:tc>
      </w:tr>
      <w:tr w:rsidR="00AC3BA7" w:rsidRPr="00747A43" w14:paraId="14476108" w14:textId="77777777" w:rsidTr="00817564">
        <w:trPr>
          <w:trHeight w:val="345"/>
        </w:trPr>
        <w:tc>
          <w:tcPr>
            <w:tcW w:w="1980" w:type="dxa"/>
            <w:vMerge/>
          </w:tcPr>
          <w:p w14:paraId="2B8BFD78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3487A722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53238237" w14:textId="77777777" w:rsidR="00AC3BA7" w:rsidRPr="002245CF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:rsidRPr="00747A43" w14:paraId="59177DDD" w14:textId="77777777" w:rsidTr="00817564">
        <w:trPr>
          <w:trHeight w:val="554"/>
        </w:trPr>
        <w:tc>
          <w:tcPr>
            <w:tcW w:w="1980" w:type="dxa"/>
          </w:tcPr>
          <w:p w14:paraId="11623CB6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Timing del </w:t>
            </w:r>
            <w:r w:rsidRPr="005209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first closing</w:t>
            </w:r>
          </w:p>
        </w:tc>
        <w:tc>
          <w:tcPr>
            <w:tcW w:w="7648" w:type="dxa"/>
          </w:tcPr>
          <w:p w14:paraId="00BFCC91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timing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atteso</w:t>
            </w:r>
          </w:p>
        </w:tc>
      </w:tr>
      <w:tr w:rsidR="00AC3BA7" w:rsidRPr="00747A43" w14:paraId="0E8AD179" w14:textId="77777777" w:rsidTr="00817564">
        <w:trPr>
          <w:trHeight w:val="1855"/>
        </w:trPr>
        <w:tc>
          <w:tcPr>
            <w:tcW w:w="1980" w:type="dxa"/>
          </w:tcPr>
          <w:p w14:paraId="7544610C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Eventuale </w:t>
            </w:r>
            <w:r w:rsidRPr="002245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due diligence</w:t>
            </w: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inviata agli altri investitori istituzionali in fase di </w:t>
            </w:r>
            <w:r w:rsidRPr="002245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due diligence </w:t>
            </w: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sull’OICR</w:t>
            </w:r>
          </w:p>
        </w:tc>
        <w:tc>
          <w:tcPr>
            <w:tcW w:w="7648" w:type="dxa"/>
          </w:tcPr>
          <w:p w14:paraId="5B4C05E4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747A43" w14:paraId="7D1074A8" w14:textId="77777777" w:rsidTr="00817564">
        <w:trPr>
          <w:trHeight w:val="922"/>
        </w:trPr>
        <w:tc>
          <w:tcPr>
            <w:tcW w:w="1980" w:type="dxa"/>
          </w:tcPr>
          <w:p w14:paraId="7E92DA08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Eventuali </w:t>
            </w:r>
            <w:r w:rsidRPr="002245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side </w:t>
            </w:r>
            <w:proofErr w:type="spellStart"/>
            <w:r w:rsidRPr="002245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letter</w:t>
            </w:r>
            <w:proofErr w:type="spellEnd"/>
            <w:r w:rsidRPr="002245C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firmate con gli investitori dell’OICR</w:t>
            </w:r>
          </w:p>
        </w:tc>
        <w:tc>
          <w:tcPr>
            <w:tcW w:w="7648" w:type="dxa"/>
          </w:tcPr>
          <w:p w14:paraId="62C36542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[Sì/No; Se sì, specificare quale]</w:t>
            </w:r>
          </w:p>
        </w:tc>
      </w:tr>
    </w:tbl>
    <w:p w14:paraId="7B584F82" w14:textId="77777777" w:rsidR="00AC3BA7" w:rsidRDefault="00AC3BA7" w:rsidP="00AC3BA7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AC3BA7" w14:paraId="41961D93" w14:textId="77777777" w:rsidTr="00AC3BA7">
        <w:trPr>
          <w:trHeight w:val="413"/>
        </w:trPr>
        <w:tc>
          <w:tcPr>
            <w:tcW w:w="9628" w:type="dxa"/>
            <w:gridSpan w:val="2"/>
            <w:shd w:val="clear" w:color="auto" w:fill="44546A"/>
            <w:vAlign w:val="center"/>
          </w:tcPr>
          <w:p w14:paraId="05EF1F72" w14:textId="77777777" w:rsidR="00AC3BA7" w:rsidRPr="00E02BB2" w:rsidRDefault="00AC3BA7" w:rsidP="00817564">
            <w:pPr>
              <w:rPr>
                <w:rFonts w:ascii="Arial" w:hAnsi="Arial" w:cs="Arial"/>
                <w:b/>
                <w:bCs/>
              </w:rPr>
            </w:pPr>
            <w:r w:rsidRPr="00E02BB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MODELLO DI BUSINESS</w:t>
            </w:r>
          </w:p>
        </w:tc>
      </w:tr>
      <w:tr w:rsidR="00AC3BA7" w14:paraId="75634AEB" w14:textId="77777777" w:rsidTr="00817564">
        <w:trPr>
          <w:trHeight w:val="233"/>
        </w:trPr>
        <w:tc>
          <w:tcPr>
            <w:tcW w:w="1980" w:type="dxa"/>
            <w:vMerge w:val="restart"/>
          </w:tcPr>
          <w:p w14:paraId="36F95CFB" w14:textId="77777777" w:rsidR="00AC3BA7" w:rsidRPr="002245CF" w:rsidRDefault="00AC3BA7" w:rsidP="00817564">
            <w:pPr>
              <w:rPr>
                <w:b/>
                <w:bCs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Policy di investimento</w:t>
            </w:r>
          </w:p>
        </w:tc>
        <w:tc>
          <w:tcPr>
            <w:tcW w:w="7648" w:type="dxa"/>
          </w:tcPr>
          <w:p w14:paraId="1770D517" w14:textId="77777777" w:rsidR="00AC3BA7" w:rsidRDefault="00AC3BA7" w:rsidP="00817564">
            <w:pPr>
              <w:rPr>
                <w:i/>
                <w:iCs/>
                <w:color w:val="0070C0"/>
              </w:rPr>
            </w:pPr>
            <w:r w:rsidRPr="00EF0F6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</w:t>
            </w:r>
            <w:r w:rsidRPr="00EF0F65">
              <w:rPr>
                <w:rFonts w:ascii="Arial" w:hAnsi="Arial" w:cs="Arial"/>
                <w:i/>
                <w:iCs/>
                <w:color w:val="0070C0"/>
                <w:sz w:val="18"/>
                <w:szCs w:val="18"/>
              </w:rPr>
              <w:t xml:space="preserve">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le caratteristiche delle imprese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target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, degli strumenti finanziari e vincoli dell’OICR</w:t>
            </w:r>
          </w:p>
          <w:p w14:paraId="5EAB86E8" w14:textId="77777777" w:rsidR="00AC3BA7" w:rsidRPr="00216A70" w:rsidRDefault="00AC3BA7" w:rsidP="00817564">
            <w:pPr>
              <w:rPr>
                <w:i/>
                <w:iCs/>
              </w:rPr>
            </w:pPr>
          </w:p>
        </w:tc>
      </w:tr>
      <w:tr w:rsidR="00AC3BA7" w14:paraId="57E82AC1" w14:textId="77777777" w:rsidTr="00817564">
        <w:trPr>
          <w:trHeight w:val="232"/>
        </w:trPr>
        <w:tc>
          <w:tcPr>
            <w:tcW w:w="1980" w:type="dxa"/>
            <w:vMerge/>
          </w:tcPr>
          <w:p w14:paraId="7D3E1500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51B8961D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3163ACC7" w14:textId="77777777" w:rsidR="00AC3BA7" w:rsidRDefault="00AC3BA7" w:rsidP="00817564"/>
        </w:tc>
      </w:tr>
      <w:tr w:rsidR="00AC3BA7" w:rsidRPr="001F7729" w14:paraId="0C858B5E" w14:textId="77777777" w:rsidTr="00817564">
        <w:trPr>
          <w:trHeight w:val="412"/>
        </w:trPr>
        <w:tc>
          <w:tcPr>
            <w:tcW w:w="1980" w:type="dxa"/>
            <w:vMerge w:val="restart"/>
          </w:tcPr>
          <w:p w14:paraId="00BD0D80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Strategie Operative</w:t>
            </w:r>
          </w:p>
        </w:tc>
        <w:tc>
          <w:tcPr>
            <w:tcW w:w="7648" w:type="dxa"/>
          </w:tcPr>
          <w:p w14:paraId="6FBBA3BD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Indicazione delle specifiche strategie di targeting ed </w:t>
            </w:r>
            <w:proofErr w:type="spellStart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origination</w:t>
            </w:r>
            <w:proofErr w:type="spellEnd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 </w:t>
            </w:r>
          </w:p>
        </w:tc>
      </w:tr>
      <w:tr w:rsidR="00AC3BA7" w:rsidRPr="001F7729" w14:paraId="6C3CF606" w14:textId="77777777" w:rsidTr="00817564">
        <w:trPr>
          <w:trHeight w:val="457"/>
        </w:trPr>
        <w:tc>
          <w:tcPr>
            <w:tcW w:w="1980" w:type="dxa"/>
            <w:vMerge/>
          </w:tcPr>
          <w:p w14:paraId="7A403DFB" w14:textId="77777777" w:rsidR="00AC3BA7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0D96C62A" w14:textId="77777777" w:rsidR="00AC3BA7" w:rsidRPr="00E02BB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02B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1441543C" w14:textId="77777777" w:rsidTr="00817564">
        <w:trPr>
          <w:trHeight w:val="1515"/>
        </w:trPr>
        <w:tc>
          <w:tcPr>
            <w:tcW w:w="1980" w:type="dxa"/>
            <w:vMerge w:val="restart"/>
          </w:tcPr>
          <w:p w14:paraId="79B729EE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7729">
              <w:rPr>
                <w:rFonts w:ascii="Arial" w:hAnsi="Arial" w:cs="Arial"/>
                <w:b/>
                <w:bCs/>
                <w:sz w:val="20"/>
                <w:szCs w:val="20"/>
              </w:rPr>
              <w:t>Descrizione del processo di investimento</w:t>
            </w:r>
          </w:p>
        </w:tc>
        <w:tc>
          <w:tcPr>
            <w:tcW w:w="7648" w:type="dxa"/>
          </w:tcPr>
          <w:p w14:paraId="02D08314" w14:textId="77777777" w:rsidR="00AC3BA7" w:rsidRPr="00216A70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Descrizione sintetica del modello operativo end-to-end nelle differenti fasi di: targeting, </w:t>
            </w:r>
            <w:proofErr w:type="spellStart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origination</w:t>
            </w:r>
            <w:proofErr w:type="spellEnd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, screening, due diligence, approvazione, strutturazione ed </w:t>
            </w:r>
            <w:proofErr w:type="spellStart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execution</w:t>
            </w:r>
            <w:proofErr w:type="spellEnd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; indicazione di quanto e/o eventualmente quali di suddette fasi venga gestita in house od in outsourcing e le relative tempistiche di ciascuna fase. Si prega inoltre di fornire, ove presenti, esempi di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documentazione interna (i.e. info memo, risk opinion) utilizzata ai fini delle delibere sulle </w:t>
            </w: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Società Target</w:t>
            </w:r>
          </w:p>
        </w:tc>
      </w:tr>
      <w:tr w:rsidR="00AC3BA7" w:rsidRPr="001F7729" w14:paraId="3DD870FF" w14:textId="77777777" w:rsidTr="00817564">
        <w:trPr>
          <w:trHeight w:val="412"/>
        </w:trPr>
        <w:tc>
          <w:tcPr>
            <w:tcW w:w="1980" w:type="dxa"/>
            <w:vMerge/>
          </w:tcPr>
          <w:p w14:paraId="29493D98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9CCB8BF" w14:textId="77777777" w:rsidR="00AC3BA7" w:rsidRPr="00E02BB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02BB2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588DF9C8" w14:textId="77777777" w:rsidTr="00817564">
        <w:trPr>
          <w:trHeight w:val="458"/>
        </w:trPr>
        <w:tc>
          <w:tcPr>
            <w:tcW w:w="1980" w:type="dxa"/>
            <w:vMerge w:val="restart"/>
          </w:tcPr>
          <w:p w14:paraId="3373B8FC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7729">
              <w:rPr>
                <w:rFonts w:ascii="Arial" w:hAnsi="Arial" w:cs="Arial"/>
                <w:b/>
                <w:bCs/>
                <w:sz w:val="20"/>
                <w:szCs w:val="20"/>
              </w:rPr>
              <w:t>Risk management e processo di valutazione creditizia</w:t>
            </w:r>
          </w:p>
        </w:tc>
        <w:tc>
          <w:tcPr>
            <w:tcW w:w="7648" w:type="dxa"/>
          </w:tcPr>
          <w:p w14:paraId="798C66EC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Fornire informazioni sulla frequenza di monitoraggio e segnali di </w:t>
            </w:r>
            <w:proofErr w:type="spellStart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early</w:t>
            </w:r>
            <w:proofErr w:type="spellEnd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warning, nonché descrivere le variabili qualitative e quantitative, il modello di rating e il processo di </w:t>
            </w:r>
            <w:proofErr w:type="spellStart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override</w:t>
            </w:r>
            <w:proofErr w:type="spellEnd"/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.</w:t>
            </w:r>
            <w:r>
              <w:t xml:space="preserve"> </w:t>
            </w: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Si richiede inoltre di fornire esempi di risk report sulle operazioni target predisposte in fase di delibera </w:t>
            </w:r>
            <w:proofErr w:type="gramStart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ed</w:t>
            </w:r>
            <w:proofErr w:type="gramEnd"/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, una volta approvate, in fase di gestione in altre iniziative di investimento</w:t>
            </w:r>
          </w:p>
          <w:p w14:paraId="1A556199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:rsidRPr="001F7729" w14:paraId="651734EA" w14:textId="77777777" w:rsidTr="00817564">
        <w:trPr>
          <w:trHeight w:val="457"/>
        </w:trPr>
        <w:tc>
          <w:tcPr>
            <w:tcW w:w="1980" w:type="dxa"/>
            <w:vMerge/>
          </w:tcPr>
          <w:p w14:paraId="59B44745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41F0532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56DA9397" w14:textId="77777777" w:rsidTr="00817564">
        <w:trPr>
          <w:trHeight w:val="345"/>
        </w:trPr>
        <w:tc>
          <w:tcPr>
            <w:tcW w:w="1980" w:type="dxa"/>
            <w:vMerge w:val="restart"/>
          </w:tcPr>
          <w:p w14:paraId="4655E89F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7729">
              <w:rPr>
                <w:rFonts w:ascii="Arial" w:hAnsi="Arial" w:cs="Arial"/>
                <w:b/>
                <w:bCs/>
                <w:sz w:val="20"/>
                <w:szCs w:val="20"/>
              </w:rPr>
              <w:t>Pricing policy</w:t>
            </w:r>
          </w:p>
        </w:tc>
        <w:tc>
          <w:tcPr>
            <w:tcW w:w="7648" w:type="dxa"/>
          </w:tcPr>
          <w:p w14:paraId="68CA0003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Fornire informazioni su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 seguenti aspetti: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modello di pricing risk </w:t>
            </w:r>
            <w:proofErr w:type="spellStart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adjusted</w:t>
            </w:r>
            <w:proofErr w:type="spellEnd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per il rischio di credito, parametri di rischi, perdita attesa, remunerazione capitale, politiche commerciali di pricing e poteri delegati, analisi di redditività risk </w:t>
            </w:r>
            <w:proofErr w:type="spellStart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adjusted</w:t>
            </w:r>
            <w:proofErr w:type="spellEnd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, pricing commissionale, covenant e pricing </w:t>
            </w:r>
            <w:proofErr w:type="spellStart"/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grid</w:t>
            </w:r>
            <w:proofErr w:type="spellEnd"/>
          </w:p>
          <w:p w14:paraId="286F74A5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:rsidRPr="001F7729" w14:paraId="08E3C093" w14:textId="77777777" w:rsidTr="00817564">
        <w:trPr>
          <w:trHeight w:val="345"/>
        </w:trPr>
        <w:tc>
          <w:tcPr>
            <w:tcW w:w="1980" w:type="dxa"/>
            <w:vMerge/>
          </w:tcPr>
          <w:p w14:paraId="1A5CE3CC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89BB7B6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6D895A10" w14:textId="77777777" w:rsidTr="00817564">
        <w:trPr>
          <w:trHeight w:val="690"/>
        </w:trPr>
        <w:tc>
          <w:tcPr>
            <w:tcW w:w="1980" w:type="dxa"/>
            <w:vMerge w:val="restart"/>
          </w:tcPr>
          <w:p w14:paraId="245F79D5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7729">
              <w:rPr>
                <w:rFonts w:ascii="Arial" w:hAnsi="Arial" w:cs="Arial"/>
                <w:b/>
                <w:bCs/>
                <w:sz w:val="20"/>
                <w:szCs w:val="20"/>
              </w:rPr>
              <w:t>ESG policy adottata dall’OICR ed eventuali impatti sul processo di investimento</w:t>
            </w:r>
          </w:p>
        </w:tc>
        <w:tc>
          <w:tcPr>
            <w:tcW w:w="7648" w:type="dxa"/>
          </w:tcPr>
          <w:p w14:paraId="7DD19D38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 la policy ESG dell’OCIR e gli impatti su processo di investimento</w:t>
            </w:r>
          </w:p>
        </w:tc>
      </w:tr>
      <w:tr w:rsidR="00AC3BA7" w:rsidRPr="001F7729" w14:paraId="469D9460" w14:textId="77777777" w:rsidTr="00817564">
        <w:trPr>
          <w:trHeight w:val="690"/>
        </w:trPr>
        <w:tc>
          <w:tcPr>
            <w:tcW w:w="1980" w:type="dxa"/>
            <w:vMerge/>
          </w:tcPr>
          <w:p w14:paraId="4951073B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448F402B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4EF06D09" w14:textId="77777777" w:rsidTr="00817564">
        <w:trPr>
          <w:trHeight w:val="747"/>
        </w:trPr>
        <w:tc>
          <w:tcPr>
            <w:tcW w:w="1980" w:type="dxa"/>
            <w:vMerge w:val="restart"/>
          </w:tcPr>
          <w:p w14:paraId="26521027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0B4D">
              <w:rPr>
                <w:rFonts w:ascii="Arial" w:hAnsi="Arial" w:cs="Arial"/>
                <w:b/>
                <w:bCs/>
                <w:sz w:val="20"/>
                <w:szCs w:val="20"/>
              </w:rPr>
              <w:t>Funzioni di controllo e procedure di monitoraggio degli investimenti</w:t>
            </w:r>
          </w:p>
        </w:tc>
        <w:tc>
          <w:tcPr>
            <w:tcW w:w="7648" w:type="dxa"/>
          </w:tcPr>
          <w:p w14:paraId="35426383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Indicare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le funzioni di controllo, la 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periodicità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dei controlli 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la 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reportistica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. </w:t>
            </w: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Fornire quindi indicazione del sistema dei controlli interni, ovvero le modalità di esecuzione (interna od esterna), nonché la ripartizione delle differenti funzioni</w:t>
            </w:r>
          </w:p>
        </w:tc>
      </w:tr>
      <w:tr w:rsidR="00AC3BA7" w:rsidRPr="001F7729" w14:paraId="4578D939" w14:textId="77777777" w:rsidTr="00817564">
        <w:trPr>
          <w:trHeight w:val="577"/>
        </w:trPr>
        <w:tc>
          <w:tcPr>
            <w:tcW w:w="1980" w:type="dxa"/>
            <w:vMerge/>
          </w:tcPr>
          <w:p w14:paraId="7893C0F1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575DD31D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4631B756" w14:textId="77777777" w:rsidTr="00817564">
        <w:trPr>
          <w:trHeight w:val="345"/>
        </w:trPr>
        <w:tc>
          <w:tcPr>
            <w:tcW w:w="1980" w:type="dxa"/>
            <w:vMerge w:val="restart"/>
          </w:tcPr>
          <w:p w14:paraId="483249CE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0B4D">
              <w:rPr>
                <w:rFonts w:ascii="Arial" w:hAnsi="Arial" w:cs="Arial"/>
                <w:b/>
                <w:bCs/>
                <w:sz w:val="20"/>
                <w:szCs w:val="20"/>
              </w:rPr>
              <w:t>Descrizione remunerazione del Gestore</w:t>
            </w:r>
          </w:p>
        </w:tc>
        <w:tc>
          <w:tcPr>
            <w:tcW w:w="7648" w:type="dxa"/>
          </w:tcPr>
          <w:p w14:paraId="4C464578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 la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remunerazione del Gestore</w:t>
            </w:r>
          </w:p>
          <w:p w14:paraId="3EE3DA12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AC3BA7" w:rsidRPr="001F7729" w14:paraId="51CF4882" w14:textId="77777777" w:rsidTr="00817564">
        <w:trPr>
          <w:trHeight w:val="345"/>
        </w:trPr>
        <w:tc>
          <w:tcPr>
            <w:tcW w:w="1980" w:type="dxa"/>
            <w:vMerge/>
          </w:tcPr>
          <w:p w14:paraId="7C532D10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1DF4C250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77703166" w14:textId="77777777" w:rsidTr="00817564">
        <w:trPr>
          <w:trHeight w:val="707"/>
        </w:trPr>
        <w:tc>
          <w:tcPr>
            <w:tcW w:w="1980" w:type="dxa"/>
            <w:vMerge w:val="restart"/>
          </w:tcPr>
          <w:p w14:paraId="181D8E14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0B4D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Gestione 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sofferenze</w:t>
            </w:r>
            <w:r w:rsidRPr="00E50B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 strategie di recupero</w:t>
            </w:r>
          </w:p>
        </w:tc>
        <w:tc>
          <w:tcPr>
            <w:tcW w:w="7648" w:type="dxa"/>
          </w:tcPr>
          <w:p w14:paraId="40E0497E" w14:textId="77777777" w:rsidR="00AC3BA7" w:rsidRPr="00002725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02BB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Indicazione sulle politiche di gestione di eventuali posizioni problematiche all’interno del portafoglio e le relative strategie di recupero</w:t>
            </w:r>
          </w:p>
        </w:tc>
      </w:tr>
      <w:tr w:rsidR="00AC3BA7" w:rsidRPr="001F7729" w14:paraId="5DBF6D60" w14:textId="77777777" w:rsidTr="00817564">
        <w:trPr>
          <w:trHeight w:val="516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262412F6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50F8396A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:rsidRPr="001F7729" w14:paraId="008E10CE" w14:textId="77777777" w:rsidTr="00817564">
        <w:trPr>
          <w:trHeight w:val="345"/>
        </w:trPr>
        <w:tc>
          <w:tcPr>
            <w:tcW w:w="1980" w:type="dxa"/>
            <w:vMerge w:val="restart"/>
          </w:tcPr>
          <w:p w14:paraId="13D3DBDC" w14:textId="77777777" w:rsidR="00AC3BA7" w:rsidRPr="001F7729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0B4D">
              <w:rPr>
                <w:rFonts w:ascii="Arial" w:hAnsi="Arial" w:cs="Arial"/>
                <w:b/>
                <w:bCs/>
                <w:sz w:val="20"/>
                <w:szCs w:val="20"/>
              </w:rPr>
              <w:t>Flussi informativi previsti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 reporting</w:t>
            </w:r>
          </w:p>
        </w:tc>
        <w:tc>
          <w:tcPr>
            <w:tcW w:w="7648" w:type="dxa"/>
            <w:tcBorders>
              <w:bottom w:val="single" w:sz="4" w:space="0" w:color="auto"/>
            </w:tcBorders>
          </w:tcPr>
          <w:p w14:paraId="41A6548C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</w:t>
            </w:r>
            <w:r w:rsidRPr="00002725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i flussi informativi previsti</w:t>
            </w:r>
          </w:p>
          <w:p w14:paraId="25065F98" w14:textId="77777777" w:rsidR="00AC3BA7" w:rsidRPr="00002725" w:rsidRDefault="00AC3BA7" w:rsidP="008175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C3BA7" w:rsidRPr="001F7729" w14:paraId="10815E54" w14:textId="77777777" w:rsidTr="00817564">
        <w:trPr>
          <w:trHeight w:val="345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6527665B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  <w:tcBorders>
              <w:bottom w:val="single" w:sz="4" w:space="0" w:color="auto"/>
            </w:tcBorders>
          </w:tcPr>
          <w:p w14:paraId="338EA1C1" w14:textId="77777777" w:rsidR="00AC3BA7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01E02F40" w14:textId="77777777" w:rsidR="00AC3BA7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:rsidRPr="001F7729" w14:paraId="50105A27" w14:textId="77777777" w:rsidTr="00817564">
        <w:trPr>
          <w:trHeight w:val="34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0C7936" w14:textId="77777777" w:rsidR="00AC3BA7" w:rsidRPr="00E50B4D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2DC0A" w14:textId="77777777" w:rsidR="00AC3BA7" w:rsidRPr="002245CF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3BA7" w14:paraId="4C1697B3" w14:textId="77777777" w:rsidTr="00AC3BA7">
        <w:trPr>
          <w:trHeight w:val="452"/>
        </w:trPr>
        <w:tc>
          <w:tcPr>
            <w:tcW w:w="9628" w:type="dxa"/>
            <w:gridSpan w:val="2"/>
            <w:tcBorders>
              <w:top w:val="nil"/>
            </w:tcBorders>
            <w:shd w:val="clear" w:color="auto" w:fill="44546A"/>
            <w:vAlign w:val="center"/>
          </w:tcPr>
          <w:p w14:paraId="1E5F60F0" w14:textId="77777777" w:rsidR="00AC3BA7" w:rsidRPr="00E02BB2" w:rsidRDefault="00AC3BA7" w:rsidP="00817564">
            <w:pPr>
              <w:rPr>
                <w:rFonts w:ascii="Arial" w:hAnsi="Arial" w:cs="Arial"/>
                <w:b/>
                <w:bCs/>
              </w:rPr>
            </w:pPr>
            <w:r w:rsidRPr="00E02BB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MODELLO DELL’OICR</w:t>
            </w:r>
          </w:p>
        </w:tc>
      </w:tr>
      <w:tr w:rsidR="00AC3BA7" w14:paraId="6EEF4433" w14:textId="77777777" w:rsidTr="00817564">
        <w:trPr>
          <w:trHeight w:val="675"/>
        </w:trPr>
        <w:tc>
          <w:tcPr>
            <w:tcW w:w="1980" w:type="dxa"/>
            <w:vMerge w:val="restart"/>
          </w:tcPr>
          <w:p w14:paraId="19C696EE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Descrizione </w:t>
            </w:r>
            <w:proofErr w:type="spellStart"/>
            <w:r w:rsidRPr="00E6230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assumptions</w:t>
            </w:r>
            <w:proofErr w:type="spellEnd"/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rendimenti attesi e </w:t>
            </w:r>
            <w:r w:rsidRPr="00E6230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cash flow</w:t>
            </w: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complessivi</w:t>
            </w:r>
          </w:p>
        </w:tc>
        <w:tc>
          <w:tcPr>
            <w:tcW w:w="7648" w:type="dxa"/>
          </w:tcPr>
          <w:p w14:paraId="7298E753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 i seguenti aspetti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: </w:t>
            </w:r>
            <w:proofErr w:type="spellStart"/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assumptions</w:t>
            </w:r>
            <w:proofErr w:type="spellEnd"/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, rendimenti attesi e cash flow complessivi</w:t>
            </w:r>
          </w:p>
        </w:tc>
      </w:tr>
      <w:tr w:rsidR="00AC3BA7" w14:paraId="71AD0172" w14:textId="77777777" w:rsidTr="00817564">
        <w:trPr>
          <w:trHeight w:val="675"/>
        </w:trPr>
        <w:tc>
          <w:tcPr>
            <w:tcW w:w="1980" w:type="dxa"/>
            <w:vMerge/>
          </w:tcPr>
          <w:p w14:paraId="6C184BD7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B2265EC" w14:textId="77777777" w:rsidR="00AC3BA7" w:rsidRPr="00E62302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C4688F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fornire Excel obbligatorio</w:t>
            </w:r>
          </w:p>
        </w:tc>
      </w:tr>
      <w:tr w:rsidR="00AC3BA7" w14:paraId="6EAAEB8C" w14:textId="77777777" w:rsidTr="00817564">
        <w:trPr>
          <w:trHeight w:val="675"/>
        </w:trPr>
        <w:tc>
          <w:tcPr>
            <w:tcW w:w="1980" w:type="dxa"/>
            <w:vMerge w:val="restart"/>
          </w:tcPr>
          <w:p w14:paraId="151D7637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Descrizione dei meccanismi di incentivazione per il management team</w:t>
            </w:r>
          </w:p>
        </w:tc>
        <w:tc>
          <w:tcPr>
            <w:tcW w:w="7648" w:type="dxa"/>
          </w:tcPr>
          <w:p w14:paraId="264CE2F1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i meccanismi di incentivazione per il management team</w:t>
            </w:r>
          </w:p>
        </w:tc>
      </w:tr>
      <w:tr w:rsidR="00AC3BA7" w14:paraId="28FF5C07" w14:textId="77777777" w:rsidTr="00817564">
        <w:trPr>
          <w:trHeight w:val="675"/>
        </w:trPr>
        <w:tc>
          <w:tcPr>
            <w:tcW w:w="1980" w:type="dxa"/>
            <w:vMerge/>
          </w:tcPr>
          <w:p w14:paraId="2E1B5C50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6AB125AD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14:paraId="24D09B5A" w14:textId="77777777" w:rsidTr="00817564">
        <w:trPr>
          <w:trHeight w:val="803"/>
        </w:trPr>
        <w:tc>
          <w:tcPr>
            <w:tcW w:w="1980" w:type="dxa"/>
            <w:vMerge w:val="restart"/>
          </w:tcPr>
          <w:p w14:paraId="677A4DE2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Policy di diversificazione e impatto dei default sulle performance di portafoglio</w:t>
            </w:r>
          </w:p>
          <w:p w14:paraId="5A0AD308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6C4EC461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Fornire informazioni relative alla policy di diversificazione e impatto dei default sulle performance di portafoglio</w:t>
            </w:r>
          </w:p>
        </w:tc>
      </w:tr>
      <w:tr w:rsidR="00AC3BA7" w14:paraId="35C1AAB3" w14:textId="77777777" w:rsidTr="00817564">
        <w:trPr>
          <w:trHeight w:val="802"/>
        </w:trPr>
        <w:tc>
          <w:tcPr>
            <w:tcW w:w="1980" w:type="dxa"/>
            <w:vMerge/>
          </w:tcPr>
          <w:p w14:paraId="71E48490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66BE8358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14:paraId="3F6AED67" w14:textId="77777777" w:rsidTr="00817564">
        <w:trPr>
          <w:trHeight w:val="405"/>
        </w:trPr>
        <w:tc>
          <w:tcPr>
            <w:tcW w:w="1980" w:type="dxa"/>
            <w:vMerge w:val="restart"/>
          </w:tcPr>
          <w:p w14:paraId="61BE65CC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Approfondimenti su </w:t>
            </w:r>
            <w:proofErr w:type="spellStart"/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loan</w:t>
            </w:r>
            <w:proofErr w:type="spellEnd"/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/bond sottostanti</w:t>
            </w:r>
          </w:p>
        </w:tc>
        <w:tc>
          <w:tcPr>
            <w:tcW w:w="7648" w:type="dxa"/>
          </w:tcPr>
          <w:p w14:paraId="60543BF8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 durate, forme tecniche, security package</w:t>
            </w:r>
          </w:p>
          <w:p w14:paraId="1A8D7269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14:paraId="4607693C" w14:textId="77777777" w:rsidTr="00817564">
        <w:trPr>
          <w:trHeight w:val="405"/>
        </w:trPr>
        <w:tc>
          <w:tcPr>
            <w:tcW w:w="1980" w:type="dxa"/>
            <w:vMerge/>
          </w:tcPr>
          <w:p w14:paraId="0422584C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34A200DA" w14:textId="77777777" w:rsidR="00AC3BA7" w:rsidRPr="00E62302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14:paraId="5F14A18C" w14:textId="77777777" w:rsidTr="00817564">
        <w:tc>
          <w:tcPr>
            <w:tcW w:w="1980" w:type="dxa"/>
          </w:tcPr>
          <w:p w14:paraId="255D0BEC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Calcolo del N.A.V. e frequenza di calcolo</w:t>
            </w:r>
          </w:p>
        </w:tc>
        <w:tc>
          <w:tcPr>
            <w:tcW w:w="7648" w:type="dxa"/>
          </w:tcPr>
          <w:p w14:paraId="7D9F3080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Inserire calcolo N.A.V e frequenza di calcolo</w:t>
            </w:r>
          </w:p>
        </w:tc>
      </w:tr>
    </w:tbl>
    <w:p w14:paraId="35866C39" w14:textId="77777777" w:rsidR="00AC3BA7" w:rsidRDefault="00AC3BA7" w:rsidP="00AC3BA7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7648"/>
      </w:tblGrid>
      <w:tr w:rsidR="00AC3BA7" w14:paraId="778746B5" w14:textId="77777777" w:rsidTr="00AC3BA7">
        <w:trPr>
          <w:trHeight w:val="424"/>
        </w:trPr>
        <w:tc>
          <w:tcPr>
            <w:tcW w:w="9628" w:type="dxa"/>
            <w:gridSpan w:val="2"/>
            <w:shd w:val="clear" w:color="auto" w:fill="44546A"/>
            <w:vAlign w:val="center"/>
          </w:tcPr>
          <w:p w14:paraId="00F2A3EC" w14:textId="77777777" w:rsidR="00AC3BA7" w:rsidRPr="00E02BB2" w:rsidRDefault="00AC3BA7" w:rsidP="00817564">
            <w:pPr>
              <w:rPr>
                <w:rFonts w:ascii="Arial" w:hAnsi="Arial" w:cs="Arial"/>
                <w:b/>
                <w:bCs/>
              </w:rPr>
            </w:pPr>
            <w:r w:rsidRPr="00E02BB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AGGIORNAMENTO SULL’OICR (qualora disponibile)</w:t>
            </w:r>
          </w:p>
        </w:tc>
      </w:tr>
      <w:tr w:rsidR="00AC3BA7" w14:paraId="7D407C17" w14:textId="77777777" w:rsidTr="00817564">
        <w:trPr>
          <w:trHeight w:val="270"/>
        </w:trPr>
        <w:tc>
          <w:tcPr>
            <w:tcW w:w="1980" w:type="dxa"/>
            <w:vMerge w:val="restart"/>
          </w:tcPr>
          <w:p w14:paraId="1BB093E1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Investimenti</w:t>
            </w:r>
          </w:p>
          <w:p w14:paraId="6025E2FF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effettuati dall’OICR</w:t>
            </w:r>
          </w:p>
        </w:tc>
        <w:tc>
          <w:tcPr>
            <w:tcW w:w="7648" w:type="dxa"/>
          </w:tcPr>
          <w:p w14:paraId="28823CAF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 e d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escrivere gli investimenti effettuati dall’OICR</w:t>
            </w:r>
          </w:p>
          <w:p w14:paraId="275EDC91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14:paraId="6F671D95" w14:textId="77777777" w:rsidTr="00817564">
        <w:trPr>
          <w:trHeight w:val="270"/>
        </w:trPr>
        <w:tc>
          <w:tcPr>
            <w:tcW w:w="1980" w:type="dxa"/>
            <w:vMerge/>
          </w:tcPr>
          <w:p w14:paraId="2DE58142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589C810A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070F4217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3BA7" w14:paraId="69ACDCAD" w14:textId="77777777" w:rsidTr="00817564">
        <w:trPr>
          <w:trHeight w:val="540"/>
        </w:trPr>
        <w:tc>
          <w:tcPr>
            <w:tcW w:w="1980" w:type="dxa"/>
            <w:vMerge w:val="restart"/>
          </w:tcPr>
          <w:p w14:paraId="61E6C3EE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Principali metriche di rischio / </w:t>
            </w: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rendimento storiche</w:t>
            </w:r>
          </w:p>
        </w:tc>
        <w:tc>
          <w:tcPr>
            <w:tcW w:w="7648" w:type="dxa"/>
          </w:tcPr>
          <w:p w14:paraId="6CF76364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Indicare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metriche di rischio/rendimento storiche</w:t>
            </w:r>
          </w:p>
        </w:tc>
      </w:tr>
      <w:tr w:rsidR="00AC3BA7" w14:paraId="0C898333" w14:textId="77777777" w:rsidTr="00817564">
        <w:trPr>
          <w:trHeight w:val="540"/>
        </w:trPr>
        <w:tc>
          <w:tcPr>
            <w:tcW w:w="1980" w:type="dxa"/>
            <w:vMerge/>
          </w:tcPr>
          <w:p w14:paraId="279AC1AD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7704C1BE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14:paraId="7C0FEA86" w14:textId="77777777" w:rsidTr="00817564">
        <w:trPr>
          <w:trHeight w:val="270"/>
        </w:trPr>
        <w:tc>
          <w:tcPr>
            <w:tcW w:w="1980" w:type="dxa"/>
            <w:vMerge w:val="restart"/>
          </w:tcPr>
          <w:p w14:paraId="127AE1AB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Pipeline e volumi attesi</w:t>
            </w:r>
          </w:p>
        </w:tc>
        <w:tc>
          <w:tcPr>
            <w:tcW w:w="7648" w:type="dxa"/>
          </w:tcPr>
          <w:p w14:paraId="0F30220F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 pipeline e volumi attesi</w:t>
            </w:r>
          </w:p>
          <w:p w14:paraId="4497511F" w14:textId="77777777" w:rsidR="00AC3BA7" w:rsidRPr="00E62302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14:paraId="34A74511" w14:textId="77777777" w:rsidTr="00817564">
        <w:trPr>
          <w:trHeight w:val="270"/>
        </w:trPr>
        <w:tc>
          <w:tcPr>
            <w:tcW w:w="1980" w:type="dxa"/>
            <w:vMerge/>
          </w:tcPr>
          <w:p w14:paraId="09A515D6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1D436FA9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3F1F73B9" w14:textId="77777777" w:rsidR="00AC3BA7" w:rsidRPr="00E62302" w:rsidRDefault="00AC3BA7" w:rsidP="008175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3BA7" w14:paraId="19C4172E" w14:textId="77777777" w:rsidTr="00817564">
        <w:trPr>
          <w:trHeight w:val="270"/>
        </w:trPr>
        <w:tc>
          <w:tcPr>
            <w:tcW w:w="1980" w:type="dxa"/>
            <w:vMerge w:val="restart"/>
          </w:tcPr>
          <w:p w14:paraId="1011743F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Tassi di default e di recupero</w:t>
            </w:r>
          </w:p>
        </w:tc>
        <w:tc>
          <w:tcPr>
            <w:tcW w:w="7648" w:type="dxa"/>
          </w:tcPr>
          <w:p w14:paraId="08A54AEA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tassi di default e di recupero</w:t>
            </w:r>
          </w:p>
          <w:p w14:paraId="4837A50F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</w:tc>
      </w:tr>
      <w:tr w:rsidR="00AC3BA7" w14:paraId="5BD52E95" w14:textId="77777777" w:rsidTr="00817564">
        <w:trPr>
          <w:trHeight w:val="270"/>
        </w:trPr>
        <w:tc>
          <w:tcPr>
            <w:tcW w:w="1980" w:type="dxa"/>
            <w:vMerge/>
          </w:tcPr>
          <w:p w14:paraId="12B9F450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02DE682C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  <w:p w14:paraId="294F21EC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3BA7" w14:paraId="67AC4083" w14:textId="77777777" w:rsidTr="00817564">
        <w:trPr>
          <w:trHeight w:val="405"/>
        </w:trPr>
        <w:tc>
          <w:tcPr>
            <w:tcW w:w="1980" w:type="dxa"/>
            <w:vMerge w:val="restart"/>
          </w:tcPr>
          <w:p w14:paraId="1C68DE6D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Status di Fondi precedenti o paralleli</w:t>
            </w:r>
          </w:p>
        </w:tc>
        <w:tc>
          <w:tcPr>
            <w:tcW w:w="7648" w:type="dxa"/>
          </w:tcPr>
          <w:p w14:paraId="7E29BC55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Indicare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status di fondi precedenti o paralleli</w:t>
            </w:r>
          </w:p>
          <w:p w14:paraId="222B06B0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AC3BA7" w14:paraId="2A6F903D" w14:textId="77777777" w:rsidTr="00817564">
        <w:trPr>
          <w:trHeight w:val="405"/>
        </w:trPr>
        <w:tc>
          <w:tcPr>
            <w:tcW w:w="1980" w:type="dxa"/>
            <w:vMerge/>
          </w:tcPr>
          <w:p w14:paraId="5633D2BB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48" w:type="dxa"/>
          </w:tcPr>
          <w:p w14:paraId="1D28346A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E62302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  <w:tr w:rsidR="00AC3BA7" w14:paraId="6FE489BE" w14:textId="77777777" w:rsidTr="00817564">
        <w:trPr>
          <w:trHeight w:val="938"/>
        </w:trPr>
        <w:tc>
          <w:tcPr>
            <w:tcW w:w="1980" w:type="dxa"/>
            <w:vMerge w:val="restart"/>
          </w:tcPr>
          <w:p w14:paraId="14FD43D0" w14:textId="77777777" w:rsidR="00AC3BA7" w:rsidRPr="00E62302" w:rsidRDefault="00AC3BA7" w:rsidP="008175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2302">
              <w:rPr>
                <w:rFonts w:ascii="Arial" w:hAnsi="Arial" w:cs="Arial"/>
                <w:b/>
                <w:bCs/>
                <w:sz w:val="20"/>
                <w:szCs w:val="20"/>
              </w:rPr>
              <w:t>Focus sul processo di escussione di garanzie rilasciate dal Fondo Centrale di Garanzia e da altri Enti Europei (qualora previsti)</w:t>
            </w:r>
          </w:p>
        </w:tc>
        <w:tc>
          <w:tcPr>
            <w:tcW w:w="7648" w:type="dxa"/>
          </w:tcPr>
          <w:p w14:paraId="531F3942" w14:textId="77777777" w:rsidR="00AC3BA7" w:rsidRPr="00E62302" w:rsidRDefault="00AC3BA7" w:rsidP="00817564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Descrivere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i</w:t>
            </w:r>
            <w:r w:rsidRPr="00E62302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l processo di escussione di garanzie rilasciate dal Fondo di Garanzia e da altri Enti Europei</w:t>
            </w:r>
          </w:p>
        </w:tc>
      </w:tr>
      <w:tr w:rsidR="00AC3BA7" w14:paraId="5ED19FBA" w14:textId="77777777" w:rsidTr="00817564">
        <w:trPr>
          <w:trHeight w:val="937"/>
        </w:trPr>
        <w:tc>
          <w:tcPr>
            <w:tcW w:w="1980" w:type="dxa"/>
            <w:vMerge/>
          </w:tcPr>
          <w:p w14:paraId="2D852606" w14:textId="77777777" w:rsidR="00AC3BA7" w:rsidRPr="00523D41" w:rsidRDefault="00AC3BA7" w:rsidP="00817564">
            <w:pPr>
              <w:rPr>
                <w:b/>
                <w:bCs/>
              </w:rPr>
            </w:pPr>
          </w:p>
        </w:tc>
        <w:tc>
          <w:tcPr>
            <w:tcW w:w="7648" w:type="dxa"/>
          </w:tcPr>
          <w:p w14:paraId="68109283" w14:textId="77777777" w:rsidR="00AC3BA7" w:rsidRDefault="00AC3BA7" w:rsidP="00817564">
            <w:pPr>
              <w:rPr>
                <w:b/>
                <w:bCs/>
              </w:rPr>
            </w:pPr>
            <w:r w:rsidRPr="002245CF">
              <w:rPr>
                <w:rFonts w:ascii="Arial" w:hAnsi="Arial" w:cs="Arial"/>
                <w:b/>
                <w:bCs/>
                <w:sz w:val="20"/>
                <w:szCs w:val="20"/>
              </w:rPr>
              <w:t>Allegato/i</w:t>
            </w:r>
            <w:r w:rsidRPr="002245CF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[</w:t>
            </w:r>
            <w: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Specificare rimando</w:t>
            </w:r>
            <w:r w:rsidRPr="00216A70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]</w:t>
            </w:r>
          </w:p>
        </w:tc>
      </w:tr>
    </w:tbl>
    <w:p w14:paraId="7F5064EA" w14:textId="6EC90992" w:rsidR="00130783" w:rsidRPr="00AC3BA7" w:rsidRDefault="00130783" w:rsidP="00AC3BA7"/>
    <w:sectPr w:rsidR="00130783" w:rsidRPr="00AC3BA7" w:rsidSect="00BE47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2835" w:right="839" w:bottom="2268" w:left="851" w:header="839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6D5C" w14:textId="77777777" w:rsidR="00C70FFA" w:rsidRDefault="00C70FFA" w:rsidP="000159BC">
      <w:r>
        <w:separator/>
      </w:r>
    </w:p>
  </w:endnote>
  <w:endnote w:type="continuationSeparator" w:id="0">
    <w:p w14:paraId="75952CAA" w14:textId="77777777" w:rsidR="00C70FFA" w:rsidRDefault="00C70FFA" w:rsidP="0001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ressay Trial">
    <w:charset w:val="4D"/>
    <w:family w:val="roman"/>
    <w:pitch w:val="variable"/>
    <w:sig w:usb0="A00000EF" w:usb1="5000205B" w:usb2="00000028" w:usb3="00000000" w:csb0="00000093" w:csb1="00000000"/>
  </w:font>
  <w:font w:name="Circular Std Book">
    <w:altName w:val="Calibri"/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45C8" w14:textId="77777777" w:rsidR="00134B2D" w:rsidRDefault="00134B2D" w:rsidP="0028154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C38EDFD" w14:textId="77777777" w:rsidR="00F66792" w:rsidRDefault="00F66792" w:rsidP="00134B2D">
    <w:pPr>
      <w:pStyle w:val="Pidipagina"/>
      <w:ind w:left="4819" w:right="360" w:hanging="481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6D747" w14:textId="77777777" w:rsidR="00134B2D" w:rsidRPr="00D70605" w:rsidRDefault="00134B2D" w:rsidP="00134B2D">
    <w:pPr>
      <w:pStyle w:val="Pidipagina"/>
      <w:framePr w:wrap="around" w:vAnchor="text" w:hAnchor="margin" w:xAlign="right" w:y="1"/>
      <w:jc w:val="right"/>
      <w:rPr>
        <w:rStyle w:val="Numeropagina"/>
        <w:rFonts w:ascii="Arial" w:hAnsi="Arial"/>
        <w:color w:val="4D4D4D" w:themeColor="accent5"/>
        <w:sz w:val="18"/>
        <w:szCs w:val="18"/>
      </w:rPr>
    </w:pPr>
    <w:r w:rsidRPr="00D70605">
      <w:rPr>
        <w:rStyle w:val="Numeropagina"/>
        <w:rFonts w:ascii="Arial" w:hAnsi="Arial"/>
        <w:color w:val="4D4D4D" w:themeColor="accent5"/>
        <w:sz w:val="18"/>
        <w:szCs w:val="18"/>
      </w:rPr>
      <w:fldChar w:fldCharType="begin"/>
    </w:r>
    <w:r w:rsidRPr="00D70605">
      <w:rPr>
        <w:rStyle w:val="Numeropagina"/>
        <w:rFonts w:ascii="Arial" w:hAnsi="Arial"/>
        <w:color w:val="4D4D4D" w:themeColor="accent5"/>
        <w:sz w:val="18"/>
        <w:szCs w:val="18"/>
      </w:rPr>
      <w:instrText xml:space="preserve">PAGE  </w:instrText>
    </w:r>
    <w:r w:rsidRPr="00D70605">
      <w:rPr>
        <w:rStyle w:val="Numeropagina"/>
        <w:rFonts w:ascii="Arial" w:hAnsi="Arial"/>
        <w:color w:val="4D4D4D" w:themeColor="accent5"/>
        <w:sz w:val="18"/>
        <w:szCs w:val="18"/>
      </w:rPr>
      <w:fldChar w:fldCharType="separate"/>
    </w:r>
    <w:r w:rsidR="008B197A">
      <w:rPr>
        <w:rStyle w:val="Numeropagina"/>
        <w:rFonts w:ascii="Arial" w:hAnsi="Arial"/>
        <w:noProof/>
        <w:color w:val="4D4D4D" w:themeColor="accent5"/>
        <w:sz w:val="18"/>
        <w:szCs w:val="18"/>
      </w:rPr>
      <w:t>2</w:t>
    </w:r>
    <w:r w:rsidRPr="00D70605">
      <w:rPr>
        <w:rStyle w:val="Numeropagina"/>
        <w:rFonts w:ascii="Arial" w:hAnsi="Arial"/>
        <w:color w:val="4D4D4D" w:themeColor="accent5"/>
        <w:sz w:val="18"/>
        <w:szCs w:val="18"/>
      </w:rPr>
      <w:fldChar w:fldCharType="end"/>
    </w:r>
  </w:p>
  <w:p w14:paraId="486DC18B" w14:textId="77777777" w:rsidR="00963470" w:rsidRPr="007A5864" w:rsidRDefault="00963470" w:rsidP="00134B2D">
    <w:pPr>
      <w:pStyle w:val="Pidipagina"/>
      <w:pageBreakBefore/>
      <w:tabs>
        <w:tab w:val="clear" w:pos="4819"/>
      </w:tabs>
      <w:spacing w:line="220" w:lineRule="exact"/>
      <w:ind w:right="360"/>
      <w:rPr>
        <w:rFonts w:ascii="Circular Std Book" w:hAnsi="Circular Std Book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40DC" w14:textId="77777777" w:rsidR="003D175E" w:rsidRDefault="00685666" w:rsidP="00134B2D">
    <w:pPr>
      <w:pStyle w:val="Pidipagina"/>
      <w:tabs>
        <w:tab w:val="clear" w:pos="4819"/>
        <w:tab w:val="clear" w:pos="9638"/>
        <w:tab w:val="left" w:pos="4070"/>
      </w:tabs>
    </w:pPr>
    <w:r w:rsidRPr="00685666">
      <w:rPr>
        <w:noProof/>
      </w:rPr>
      <w:drawing>
        <wp:anchor distT="0" distB="0" distL="114300" distR="114300" simplePos="0" relativeHeight="251670528" behindDoc="1" locked="0" layoutInCell="1" allowOverlap="1" wp14:anchorId="014CD02B" wp14:editId="7ADAA343">
          <wp:simplePos x="0" y="0"/>
          <wp:positionH relativeFrom="column">
            <wp:posOffset>-205105</wp:posOffset>
          </wp:positionH>
          <wp:positionV relativeFrom="paragraph">
            <wp:posOffset>-548640</wp:posOffset>
          </wp:positionV>
          <wp:extent cx="6908800" cy="815340"/>
          <wp:effectExtent l="0" t="0" r="6350" b="381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0880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34CD1" w14:textId="77777777" w:rsidR="00C70FFA" w:rsidRDefault="00C70FFA" w:rsidP="000159BC">
      <w:r>
        <w:separator/>
      </w:r>
    </w:p>
  </w:footnote>
  <w:footnote w:type="continuationSeparator" w:id="0">
    <w:p w14:paraId="5CE29F1B" w14:textId="77777777" w:rsidR="00C70FFA" w:rsidRDefault="00C70FFA" w:rsidP="00015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1E517" w14:textId="77777777" w:rsidR="00F66792" w:rsidRDefault="00AC3BA7">
    <w:pPr>
      <w:pStyle w:val="Intestazione"/>
    </w:pPr>
    <w:sdt>
      <w:sdtPr>
        <w:id w:val="-1700464755"/>
        <w:temporary/>
        <w:showingPlcHdr/>
      </w:sdtPr>
      <w:sdtEndPr/>
      <w:sdtContent>
        <w:r w:rsidR="00F66792">
          <w:t>[Digitare il testo]</w:t>
        </w:r>
      </w:sdtContent>
    </w:sdt>
    <w:r w:rsidR="00F66792">
      <w:ptab w:relativeTo="margin" w:alignment="center" w:leader="none"/>
    </w:r>
    <w:sdt>
      <w:sdtPr>
        <w:id w:val="1130980250"/>
        <w:temporary/>
        <w:showingPlcHdr/>
      </w:sdtPr>
      <w:sdtEndPr/>
      <w:sdtContent>
        <w:r w:rsidR="00F66792">
          <w:t>[Digitare il testo]</w:t>
        </w:r>
      </w:sdtContent>
    </w:sdt>
    <w:r w:rsidR="00F66792">
      <w:ptab w:relativeTo="margin" w:alignment="right" w:leader="none"/>
    </w:r>
    <w:sdt>
      <w:sdtPr>
        <w:id w:val="1370576617"/>
        <w:temporary/>
        <w:showingPlcHdr/>
      </w:sdtPr>
      <w:sdtEndPr/>
      <w:sdtContent>
        <w:r w:rsidR="00F66792">
          <w:t>[Digitare il testo]</w:t>
        </w:r>
      </w:sdtContent>
    </w:sdt>
  </w:p>
  <w:p w14:paraId="542E8B0E" w14:textId="77777777" w:rsidR="00F66792" w:rsidRDefault="00F667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48E7" w14:textId="77777777" w:rsidR="00F66792" w:rsidRDefault="00E93748" w:rsidP="0032458B">
    <w:pPr>
      <w:pStyle w:val="Intestazione"/>
      <w:ind w:left="4819" w:hanging="4819"/>
    </w:pPr>
    <w:r>
      <w:rPr>
        <w:noProof/>
      </w:rPr>
      <w:drawing>
        <wp:anchor distT="0" distB="0" distL="114300" distR="114300" simplePos="0" relativeHeight="251669504" behindDoc="1" locked="0" layoutInCell="1" allowOverlap="1" wp14:anchorId="355196DF" wp14:editId="1615CB19">
          <wp:simplePos x="0" y="0"/>
          <wp:positionH relativeFrom="page">
            <wp:posOffset>6985</wp:posOffset>
          </wp:positionH>
          <wp:positionV relativeFrom="page">
            <wp:posOffset>-1270</wp:posOffset>
          </wp:positionV>
          <wp:extent cx="7542456" cy="160020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D-LETTER-15-09-2017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033"/>
                  <a:stretch/>
                </pic:blipFill>
                <pic:spPr bwMode="auto">
                  <a:xfrm>
                    <a:off x="0" y="0"/>
                    <a:ext cx="7542456" cy="1600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FB63E" w14:textId="77777777" w:rsidR="003D175E" w:rsidRDefault="00E93748">
    <w:pPr>
      <w:pStyle w:val="Intestazion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D1D28A4" wp14:editId="42ACFC03">
          <wp:simplePos x="0" y="0"/>
          <wp:positionH relativeFrom="page">
            <wp:posOffset>0</wp:posOffset>
          </wp:positionH>
          <wp:positionV relativeFrom="page">
            <wp:posOffset>1</wp:posOffset>
          </wp:positionV>
          <wp:extent cx="7542456" cy="1600200"/>
          <wp:effectExtent l="0" t="0" r="0" b="0"/>
          <wp:wrapNone/>
          <wp:docPr id="1073741828" name="Immagine 1073741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D-LETTER-15-09-2017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033"/>
                  <a:stretch/>
                </pic:blipFill>
                <pic:spPr bwMode="auto">
                  <a:xfrm>
                    <a:off x="0" y="0"/>
                    <a:ext cx="7542812" cy="16002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1F3F5E" w14:textId="77777777" w:rsidR="00AC2C8A" w:rsidRDefault="00AC2C8A" w:rsidP="00AC2C8A">
    <w:pPr>
      <w:spacing w:line="276" w:lineRule="auto"/>
      <w:jc w:val="both"/>
      <w:rPr>
        <w:rFonts w:ascii="Arial" w:hAnsi="Arial" w:cs="Arial"/>
      </w:rPr>
    </w:pPr>
  </w:p>
  <w:p w14:paraId="15CEC0A2" w14:textId="77777777" w:rsidR="00E93748" w:rsidRDefault="00E93748" w:rsidP="006C2248">
    <w:pPr>
      <w:spacing w:line="276" w:lineRule="auto"/>
      <w:jc w:val="both"/>
      <w:rPr>
        <w:rFonts w:ascii="Arial" w:hAnsi="Arial" w:cs="Arial"/>
      </w:rPr>
    </w:pPr>
  </w:p>
  <w:p w14:paraId="37C0C545" w14:textId="77777777" w:rsidR="00AC2C8A" w:rsidRDefault="00AC2C8A" w:rsidP="006C2248">
    <w:pPr>
      <w:spacing w:line="276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2217"/>
    <w:multiLevelType w:val="hybridMultilevel"/>
    <w:tmpl w:val="05E221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31EB4"/>
    <w:multiLevelType w:val="multilevel"/>
    <w:tmpl w:val="3C7A7192"/>
    <w:styleLink w:val="Stile1"/>
    <w:lvl w:ilvl="0">
      <w:numFmt w:val="bullet"/>
      <w:lvlText w:val="•"/>
      <w:lvlJc w:val="left"/>
      <w:pPr>
        <w:ind w:left="6735" w:hanging="6375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641A0"/>
    <w:multiLevelType w:val="multilevel"/>
    <w:tmpl w:val="3C7A7192"/>
    <w:numStyleLink w:val="Stile1"/>
  </w:abstractNum>
  <w:abstractNum w:abstractNumId="3" w15:restartNumberingAfterBreak="0">
    <w:nsid w:val="1F303E90"/>
    <w:multiLevelType w:val="multilevel"/>
    <w:tmpl w:val="C47A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B4105B"/>
    <w:multiLevelType w:val="hybridMultilevel"/>
    <w:tmpl w:val="86D8B37E"/>
    <w:lvl w:ilvl="0" w:tplc="B632167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A66BE"/>
    <w:multiLevelType w:val="hybridMultilevel"/>
    <w:tmpl w:val="504247D4"/>
    <w:lvl w:ilvl="0" w:tplc="833C1822">
      <w:numFmt w:val="bullet"/>
      <w:lvlText w:val="-"/>
      <w:lvlJc w:val="left"/>
      <w:pPr>
        <w:ind w:left="81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37DA5932"/>
    <w:multiLevelType w:val="hybridMultilevel"/>
    <w:tmpl w:val="1D0E0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F6A87"/>
    <w:multiLevelType w:val="hybridMultilevel"/>
    <w:tmpl w:val="F34C761C"/>
    <w:lvl w:ilvl="0" w:tplc="78E678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42CD6"/>
    <w:multiLevelType w:val="multilevel"/>
    <w:tmpl w:val="8DDC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737B3"/>
    <w:multiLevelType w:val="hybridMultilevel"/>
    <w:tmpl w:val="3C7A7192"/>
    <w:lvl w:ilvl="0" w:tplc="2E4693C6">
      <w:numFmt w:val="bullet"/>
      <w:lvlText w:val="•"/>
      <w:lvlJc w:val="left"/>
      <w:pPr>
        <w:ind w:left="6735" w:hanging="6375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F11A2C"/>
    <w:multiLevelType w:val="hybridMultilevel"/>
    <w:tmpl w:val="9B627FC4"/>
    <w:lvl w:ilvl="0" w:tplc="AF8AC7C0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535F0"/>
    <w:multiLevelType w:val="multilevel"/>
    <w:tmpl w:val="DAE63C0C"/>
    <w:lvl w:ilvl="0">
      <w:numFmt w:val="bullet"/>
      <w:lvlText w:val="•"/>
      <w:lvlJc w:val="left"/>
      <w:pPr>
        <w:ind w:left="6735" w:hanging="6375"/>
      </w:pPr>
      <w:rPr>
        <w:rFonts w:ascii="Arial" w:eastAsia="Times New Roman" w:hAnsi="Arial" w:cs="Aria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50F48"/>
    <w:multiLevelType w:val="hybridMultilevel"/>
    <w:tmpl w:val="C9D2291C"/>
    <w:lvl w:ilvl="0" w:tplc="B090259A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667695">
    <w:abstractNumId w:val="0"/>
  </w:num>
  <w:num w:numId="2" w16cid:durableId="2037152829">
    <w:abstractNumId w:val="12"/>
  </w:num>
  <w:num w:numId="3" w16cid:durableId="1959296942">
    <w:abstractNumId w:val="4"/>
  </w:num>
  <w:num w:numId="4" w16cid:durableId="1288050789">
    <w:abstractNumId w:val="7"/>
  </w:num>
  <w:num w:numId="5" w16cid:durableId="291062588">
    <w:abstractNumId w:val="10"/>
  </w:num>
  <w:num w:numId="6" w16cid:durableId="1514956522">
    <w:abstractNumId w:val="9"/>
  </w:num>
  <w:num w:numId="7" w16cid:durableId="1414277820">
    <w:abstractNumId w:val="5"/>
  </w:num>
  <w:num w:numId="8" w16cid:durableId="279260344">
    <w:abstractNumId w:val="6"/>
  </w:num>
  <w:num w:numId="9" w16cid:durableId="1290823707">
    <w:abstractNumId w:val="1"/>
  </w:num>
  <w:num w:numId="10" w16cid:durableId="750542532">
    <w:abstractNumId w:val="2"/>
  </w:num>
  <w:num w:numId="11" w16cid:durableId="1438057036">
    <w:abstractNumId w:val="11"/>
  </w:num>
  <w:num w:numId="12" w16cid:durableId="1390154404">
    <w:abstractNumId w:val="8"/>
  </w:num>
  <w:num w:numId="13" w16cid:durableId="410347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DC"/>
    <w:rsid w:val="00006D24"/>
    <w:rsid w:val="000071A2"/>
    <w:rsid w:val="00014B3F"/>
    <w:rsid w:val="000159BC"/>
    <w:rsid w:val="00037831"/>
    <w:rsid w:val="00052C7E"/>
    <w:rsid w:val="000556A0"/>
    <w:rsid w:val="0007688D"/>
    <w:rsid w:val="00085B0F"/>
    <w:rsid w:val="0009488A"/>
    <w:rsid w:val="000A0286"/>
    <w:rsid w:val="000D5484"/>
    <w:rsid w:val="000D7E7B"/>
    <w:rsid w:val="0010251C"/>
    <w:rsid w:val="00114E06"/>
    <w:rsid w:val="00130783"/>
    <w:rsid w:val="00134B2D"/>
    <w:rsid w:val="00136B5F"/>
    <w:rsid w:val="001564FD"/>
    <w:rsid w:val="001B3A09"/>
    <w:rsid w:val="001C4435"/>
    <w:rsid w:val="001F67F6"/>
    <w:rsid w:val="00203D66"/>
    <w:rsid w:val="002136C2"/>
    <w:rsid w:val="00220661"/>
    <w:rsid w:val="002334D6"/>
    <w:rsid w:val="00240786"/>
    <w:rsid w:val="00246EE1"/>
    <w:rsid w:val="00253F39"/>
    <w:rsid w:val="00257E6A"/>
    <w:rsid w:val="00261ABE"/>
    <w:rsid w:val="00263014"/>
    <w:rsid w:val="00281E92"/>
    <w:rsid w:val="00285411"/>
    <w:rsid w:val="002954FA"/>
    <w:rsid w:val="002957BF"/>
    <w:rsid w:val="002A530E"/>
    <w:rsid w:val="00316676"/>
    <w:rsid w:val="0032458B"/>
    <w:rsid w:val="00324946"/>
    <w:rsid w:val="00332F3B"/>
    <w:rsid w:val="003820D5"/>
    <w:rsid w:val="00384EE6"/>
    <w:rsid w:val="003858FD"/>
    <w:rsid w:val="003A5B96"/>
    <w:rsid w:val="003B2B1C"/>
    <w:rsid w:val="003D175E"/>
    <w:rsid w:val="003D78F7"/>
    <w:rsid w:val="003D7D25"/>
    <w:rsid w:val="003E3900"/>
    <w:rsid w:val="004418D1"/>
    <w:rsid w:val="00451981"/>
    <w:rsid w:val="00471CBE"/>
    <w:rsid w:val="004735EA"/>
    <w:rsid w:val="004A7D4F"/>
    <w:rsid w:val="004B50C2"/>
    <w:rsid w:val="004D22DF"/>
    <w:rsid w:val="004D2727"/>
    <w:rsid w:val="004D704E"/>
    <w:rsid w:val="004E2235"/>
    <w:rsid w:val="00513557"/>
    <w:rsid w:val="005162EC"/>
    <w:rsid w:val="00531282"/>
    <w:rsid w:val="00581D0B"/>
    <w:rsid w:val="0058389C"/>
    <w:rsid w:val="005933E8"/>
    <w:rsid w:val="00594DC8"/>
    <w:rsid w:val="005A1F98"/>
    <w:rsid w:val="0060194F"/>
    <w:rsid w:val="00610FF1"/>
    <w:rsid w:val="00626330"/>
    <w:rsid w:val="006361CB"/>
    <w:rsid w:val="00685666"/>
    <w:rsid w:val="006859D2"/>
    <w:rsid w:val="006A5896"/>
    <w:rsid w:val="006C2248"/>
    <w:rsid w:val="006D26A0"/>
    <w:rsid w:val="006D3CB3"/>
    <w:rsid w:val="006E175E"/>
    <w:rsid w:val="00717C06"/>
    <w:rsid w:val="00725C85"/>
    <w:rsid w:val="007479D9"/>
    <w:rsid w:val="007568C6"/>
    <w:rsid w:val="00764445"/>
    <w:rsid w:val="00796895"/>
    <w:rsid w:val="007A5864"/>
    <w:rsid w:val="007B51CC"/>
    <w:rsid w:val="007B75A4"/>
    <w:rsid w:val="007E1E1B"/>
    <w:rsid w:val="008074AB"/>
    <w:rsid w:val="008236DC"/>
    <w:rsid w:val="008678B7"/>
    <w:rsid w:val="0087304A"/>
    <w:rsid w:val="008749C4"/>
    <w:rsid w:val="008821AF"/>
    <w:rsid w:val="008834FA"/>
    <w:rsid w:val="008A4B89"/>
    <w:rsid w:val="008B197A"/>
    <w:rsid w:val="008F265A"/>
    <w:rsid w:val="009051EC"/>
    <w:rsid w:val="00922C59"/>
    <w:rsid w:val="00950A87"/>
    <w:rsid w:val="0095411F"/>
    <w:rsid w:val="009615E2"/>
    <w:rsid w:val="00963470"/>
    <w:rsid w:val="0096529A"/>
    <w:rsid w:val="00970DA7"/>
    <w:rsid w:val="009A4076"/>
    <w:rsid w:val="009A7474"/>
    <w:rsid w:val="009C7E30"/>
    <w:rsid w:val="00A138C3"/>
    <w:rsid w:val="00A30433"/>
    <w:rsid w:val="00A60657"/>
    <w:rsid w:val="00A71D4A"/>
    <w:rsid w:val="00A8780E"/>
    <w:rsid w:val="00A87CBB"/>
    <w:rsid w:val="00AB20A1"/>
    <w:rsid w:val="00AC2C8A"/>
    <w:rsid w:val="00AC3BA7"/>
    <w:rsid w:val="00B01B18"/>
    <w:rsid w:val="00B26F34"/>
    <w:rsid w:val="00B558B8"/>
    <w:rsid w:val="00B64575"/>
    <w:rsid w:val="00B87931"/>
    <w:rsid w:val="00B936E1"/>
    <w:rsid w:val="00B97963"/>
    <w:rsid w:val="00BC5E19"/>
    <w:rsid w:val="00BE4762"/>
    <w:rsid w:val="00BE553D"/>
    <w:rsid w:val="00C455C6"/>
    <w:rsid w:val="00C70FFA"/>
    <w:rsid w:val="00C838E2"/>
    <w:rsid w:val="00C92CEC"/>
    <w:rsid w:val="00CB0137"/>
    <w:rsid w:val="00CB16D6"/>
    <w:rsid w:val="00CC3F1F"/>
    <w:rsid w:val="00CE27B8"/>
    <w:rsid w:val="00CE2852"/>
    <w:rsid w:val="00D16CE5"/>
    <w:rsid w:val="00D317B6"/>
    <w:rsid w:val="00D365B6"/>
    <w:rsid w:val="00D552AE"/>
    <w:rsid w:val="00D5787D"/>
    <w:rsid w:val="00D61F24"/>
    <w:rsid w:val="00D63888"/>
    <w:rsid w:val="00D67BB8"/>
    <w:rsid w:val="00D70605"/>
    <w:rsid w:val="00DA0CDD"/>
    <w:rsid w:val="00DD5457"/>
    <w:rsid w:val="00DD6F23"/>
    <w:rsid w:val="00E2688F"/>
    <w:rsid w:val="00E3040A"/>
    <w:rsid w:val="00E5400A"/>
    <w:rsid w:val="00E56433"/>
    <w:rsid w:val="00E63DC8"/>
    <w:rsid w:val="00E77EC8"/>
    <w:rsid w:val="00E93748"/>
    <w:rsid w:val="00EF1F82"/>
    <w:rsid w:val="00EF7900"/>
    <w:rsid w:val="00F00697"/>
    <w:rsid w:val="00F01CB4"/>
    <w:rsid w:val="00F31C10"/>
    <w:rsid w:val="00F416B0"/>
    <w:rsid w:val="00F454DB"/>
    <w:rsid w:val="00F66792"/>
    <w:rsid w:val="00F77AC1"/>
    <w:rsid w:val="00F84828"/>
    <w:rsid w:val="00F8647A"/>
    <w:rsid w:val="00FB0088"/>
    <w:rsid w:val="00FB17A5"/>
    <w:rsid w:val="00FC31E8"/>
    <w:rsid w:val="00FC380A"/>
    <w:rsid w:val="00FD53C6"/>
    <w:rsid w:val="00FD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70CC10"/>
  <w14:defaultImageDpi w14:val="300"/>
  <w15:docId w15:val="{180B26C6-6689-42D5-8598-881887CA9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0159B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159BC"/>
  </w:style>
  <w:style w:type="character" w:styleId="Rimandonotaapidipagina">
    <w:name w:val="footnote reference"/>
    <w:basedOn w:val="Carpredefinitoparagrafo"/>
    <w:uiPriority w:val="99"/>
    <w:unhideWhenUsed/>
    <w:rsid w:val="000159B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159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9BC"/>
  </w:style>
  <w:style w:type="paragraph" w:styleId="Pidipagina">
    <w:name w:val="footer"/>
    <w:basedOn w:val="Normale"/>
    <w:link w:val="PidipaginaCarattere"/>
    <w:uiPriority w:val="99"/>
    <w:unhideWhenUsed/>
    <w:rsid w:val="000159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9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59BC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59BC"/>
    <w:rPr>
      <w:rFonts w:ascii="Lucida Grande" w:hAnsi="Lucida Grande"/>
      <w:sz w:val="18"/>
      <w:szCs w:val="18"/>
    </w:rPr>
  </w:style>
  <w:style w:type="character" w:styleId="Numeropagina">
    <w:name w:val="page number"/>
    <w:basedOn w:val="Carpredefinitoparagrafo"/>
    <w:uiPriority w:val="99"/>
    <w:semiHidden/>
    <w:unhideWhenUsed/>
    <w:rsid w:val="00134B2D"/>
  </w:style>
  <w:style w:type="paragraph" w:styleId="Paragrafoelenco">
    <w:name w:val="List Paragraph"/>
    <w:basedOn w:val="Normale"/>
    <w:uiPriority w:val="34"/>
    <w:qFormat/>
    <w:rsid w:val="00134B2D"/>
    <w:pPr>
      <w:ind w:left="720"/>
      <w:contextualSpacing/>
    </w:pPr>
  </w:style>
  <w:style w:type="paragraph" w:customStyle="1" w:styleId="indirizzo">
    <w:name w:val="indirizzo"/>
    <w:basedOn w:val="Normale"/>
    <w:rsid w:val="00AC2C8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itt">
    <w:name w:val="città"/>
    <w:basedOn w:val="Normale"/>
    <w:next w:val="Normale"/>
    <w:rsid w:val="00AC2C8A"/>
    <w:pPr>
      <w:tabs>
        <w:tab w:val="left" w:pos="737"/>
        <w:tab w:val="right" w:pos="3686"/>
        <w:tab w:val="left" w:pos="3969"/>
      </w:tabs>
      <w:suppressAutoHyphens/>
      <w:spacing w:before="120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datimacro">
    <w:name w:val="dati macro"/>
    <w:basedOn w:val="Normale"/>
    <w:rsid w:val="00AC2C8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pc">
    <w:name w:val="epc"/>
    <w:basedOn w:val="datimacro"/>
    <w:rsid w:val="00AC2C8A"/>
  </w:style>
  <w:style w:type="paragraph" w:styleId="Corpotesto">
    <w:name w:val="Body Text"/>
    <w:basedOn w:val="Normale"/>
    <w:link w:val="CorpotestoCarattere"/>
    <w:rsid w:val="00263014"/>
    <w:pPr>
      <w:spacing w:before="120"/>
      <w:ind w:firstLine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263014"/>
    <w:rPr>
      <w:rFonts w:ascii="Arial" w:eastAsia="Times New Roman" w:hAnsi="Arial" w:cs="Times New Roman"/>
      <w:sz w:val="20"/>
      <w:szCs w:val="20"/>
    </w:rPr>
  </w:style>
  <w:style w:type="numbering" w:customStyle="1" w:styleId="Stile1">
    <w:name w:val="Stile1"/>
    <w:uiPriority w:val="99"/>
    <w:rsid w:val="00581D0B"/>
    <w:pPr>
      <w:numPr>
        <w:numId w:val="9"/>
      </w:numPr>
    </w:pPr>
  </w:style>
  <w:style w:type="paragraph" w:customStyle="1" w:styleId="Paragrafobase">
    <w:name w:val="[Paragrafo base]"/>
    <w:basedOn w:val="Normale"/>
    <w:uiPriority w:val="99"/>
    <w:rsid w:val="000D7E7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u w:color="000000"/>
      <w:lang w:eastAsia="en-US"/>
    </w:rPr>
  </w:style>
  <w:style w:type="paragraph" w:styleId="Indirizzodestinatario">
    <w:name w:val="envelope address"/>
    <w:basedOn w:val="Normale"/>
    <w:uiPriority w:val="99"/>
    <w:rsid w:val="00BC5E19"/>
    <w:pPr>
      <w:tabs>
        <w:tab w:val="left" w:pos="170"/>
      </w:tabs>
      <w:suppressAutoHyphens/>
      <w:autoSpaceDE w:val="0"/>
      <w:autoSpaceDN w:val="0"/>
      <w:adjustRightInd w:val="0"/>
      <w:spacing w:line="270" w:lineRule="atLeast"/>
      <w:textAlignment w:val="center"/>
    </w:pPr>
    <w:rPr>
      <w:rFonts w:ascii="Bressay Trial" w:eastAsiaTheme="minorHAnsi" w:hAnsi="Bressay Trial" w:cs="Bressay Trial"/>
      <w:b/>
      <w:bCs/>
      <w:color w:val="405363"/>
      <w:sz w:val="20"/>
      <w:szCs w:val="20"/>
      <w:u w:color="000000"/>
      <w:lang w:eastAsia="en-US"/>
    </w:rPr>
  </w:style>
  <w:style w:type="table" w:styleId="Grigliatabella">
    <w:name w:val="Table Grid"/>
    <w:basedOn w:val="Tabellanormale"/>
    <w:uiPriority w:val="39"/>
    <w:rsid w:val="008A4B89"/>
    <w:rPr>
      <w:rFonts w:eastAsiaTheme="minorHAns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icheli\Desktop\Modello%20carta%20intestata%20A4%20CDP.dotx" TargetMode="External"/></Relationships>
</file>

<file path=word/theme/theme1.xml><?xml version="1.0" encoding="utf-8"?>
<a:theme xmlns:a="http://schemas.openxmlformats.org/drawingml/2006/main" name="Tema di Office">
  <a:themeElements>
    <a:clrScheme name="CDP">
      <a:dk1>
        <a:srgbClr val="001548"/>
      </a:dk1>
      <a:lt1>
        <a:sysClr val="window" lastClr="FFFFFF"/>
      </a:lt1>
      <a:dk2>
        <a:srgbClr val="C90026"/>
      </a:dk2>
      <a:lt2>
        <a:srgbClr val="D9D9D9"/>
      </a:lt2>
      <a:accent1>
        <a:srgbClr val="830C23"/>
      </a:accent1>
      <a:accent2>
        <a:srgbClr val="0C5D4F"/>
      </a:accent2>
      <a:accent3>
        <a:srgbClr val="747474"/>
      </a:accent3>
      <a:accent4>
        <a:srgbClr val="000000"/>
      </a:accent4>
      <a:accent5>
        <a:srgbClr val="4D4D4D"/>
      </a:accent5>
      <a:accent6>
        <a:srgbClr val="BFBFBF"/>
      </a:accent6>
      <a:hlink>
        <a:srgbClr val="E0E0E0"/>
      </a:hlink>
      <a:folHlink>
        <a:srgbClr val="012BB1"/>
      </a:folHlink>
    </a:clrScheme>
    <a:fontScheme name="Personalizzato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3ACFB7-D754-406B-BEF3-2680E55E65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a03c14-1435-4ef5-bb92-af8fb4129243}" enabled="1" method="Privileged" siteId="{8c4b47b5-ea35-4370-817f-95066d4f846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A4 CDP</Template>
  <TotalTime>1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Micheli</dc:creator>
  <cp:keywords/>
  <dc:description/>
  <cp:lastModifiedBy>Business</cp:lastModifiedBy>
  <cp:revision>2</cp:revision>
  <cp:lastPrinted>2024-12-06T16:25:00Z</cp:lastPrinted>
  <dcterms:created xsi:type="dcterms:W3CDTF">2024-12-09T15:46:00Z</dcterms:created>
  <dcterms:modified xsi:type="dcterms:W3CDTF">2024-12-09T15:46:00Z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a03c14-1435-4ef5-bb92-af8fb4129243_Enabled">
    <vt:lpwstr>true</vt:lpwstr>
  </property>
  <property fmtid="{D5CDD505-2E9C-101B-9397-08002B2CF9AE}" pid="3" name="MSIP_Label_dea03c14-1435-4ef5-bb92-af8fb4129243_SetDate">
    <vt:lpwstr>2022-03-17T10:25:30Z</vt:lpwstr>
  </property>
  <property fmtid="{D5CDD505-2E9C-101B-9397-08002B2CF9AE}" pid="4" name="MSIP_Label_dea03c14-1435-4ef5-bb92-af8fb4129243_Method">
    <vt:lpwstr>Privileged</vt:lpwstr>
  </property>
  <property fmtid="{D5CDD505-2E9C-101B-9397-08002B2CF9AE}" pid="5" name="MSIP_Label_dea03c14-1435-4ef5-bb92-af8fb4129243_Name">
    <vt:lpwstr>dea03c14-1435-4ef5-bb92-af8fb4129243</vt:lpwstr>
  </property>
  <property fmtid="{D5CDD505-2E9C-101B-9397-08002B2CF9AE}" pid="6" name="MSIP_Label_dea03c14-1435-4ef5-bb92-af8fb4129243_SiteId">
    <vt:lpwstr>8c4b47b5-ea35-4370-817f-95066d4f8467</vt:lpwstr>
  </property>
  <property fmtid="{D5CDD505-2E9C-101B-9397-08002B2CF9AE}" pid="7" name="MSIP_Label_dea03c14-1435-4ef5-bb92-af8fb4129243_ActionId">
    <vt:lpwstr>1e6efe62-7d1e-47cd-a7cc-61cea9412968</vt:lpwstr>
  </property>
  <property fmtid="{D5CDD505-2E9C-101B-9397-08002B2CF9AE}" pid="8" name="MSIP_Label_dea03c14-1435-4ef5-bb92-af8fb4129243_ContentBits">
    <vt:lpwstr>0</vt:lpwstr>
  </property>
</Properties>
</file>